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EBA7" w14:textId="3E29A3F5" w:rsidR="00C460CC" w:rsidRDefault="00A775A7" w:rsidP="00A775A7">
      <w:pPr>
        <w:jc w:val="center"/>
        <w:rPr>
          <w:b/>
          <w:bCs/>
          <w:lang w:val="en-US"/>
        </w:rPr>
      </w:pPr>
      <w:r w:rsidRPr="00A775A7">
        <w:rPr>
          <w:b/>
          <w:bCs/>
          <w:lang w:val="en-US"/>
        </w:rPr>
        <w:t xml:space="preserve">Wine </w:t>
      </w:r>
      <w:r w:rsidR="005C7481">
        <w:rPr>
          <w:b/>
          <w:bCs/>
          <w:lang w:val="en-US"/>
        </w:rPr>
        <w:t xml:space="preserve">“mini” </w:t>
      </w:r>
      <w:r w:rsidRPr="00A775A7">
        <w:rPr>
          <w:b/>
          <w:bCs/>
          <w:lang w:val="en-US"/>
        </w:rPr>
        <w:t>Ferment Monitoring Solution</w:t>
      </w:r>
    </w:p>
    <w:p w14:paraId="27278824" w14:textId="77777777" w:rsidR="00865AB5" w:rsidRPr="00A775A7" w:rsidRDefault="00865AB5" w:rsidP="00A775A7">
      <w:pPr>
        <w:jc w:val="center"/>
        <w:rPr>
          <w:b/>
          <w:bCs/>
          <w:lang w:val="en-US"/>
        </w:rPr>
      </w:pPr>
    </w:p>
    <w:p w14:paraId="7C780A90" w14:textId="34818DC2" w:rsidR="00A775A7" w:rsidRDefault="00A775A7">
      <w:pPr>
        <w:rPr>
          <w:lang w:val="en-US"/>
        </w:rPr>
      </w:pPr>
      <w:r>
        <w:rPr>
          <w:lang w:val="en-US"/>
        </w:rPr>
        <w:t xml:space="preserve">Problem: traditional ferment monitoring using laboratory testing is labour intensive with expensive ongoing costs. </w:t>
      </w:r>
    </w:p>
    <w:p w14:paraId="0D9FA149" w14:textId="577C65ED" w:rsidR="00A775A7" w:rsidRDefault="00A775A7">
      <w:pPr>
        <w:rPr>
          <w:lang w:val="en-US"/>
        </w:rPr>
      </w:pPr>
      <w:r>
        <w:rPr>
          <w:lang w:val="en-US"/>
        </w:rPr>
        <w:t xml:space="preserve">Problem: whilst technology is available to automate ferment monitoring it can be difficult to implement, particularly when integration to the existing control system is required. </w:t>
      </w:r>
    </w:p>
    <w:p w14:paraId="7AB07A24" w14:textId="57E951AE" w:rsidR="00A775A7" w:rsidRPr="005C7481" w:rsidRDefault="00A775A7">
      <w:pPr>
        <w:rPr>
          <w:lang w:val="en-US"/>
        </w:rPr>
      </w:pPr>
      <w:r w:rsidRPr="005C7481">
        <w:rPr>
          <w:lang w:val="en-US"/>
        </w:rPr>
        <w:t xml:space="preserve">Solution: </w:t>
      </w:r>
      <w:proofErr w:type="spellStart"/>
      <w:r w:rsidRPr="005C7481">
        <w:rPr>
          <w:lang w:val="en-US"/>
        </w:rPr>
        <w:t>ifm</w:t>
      </w:r>
      <w:proofErr w:type="spellEnd"/>
      <w:r w:rsidRPr="005C7481">
        <w:rPr>
          <w:lang w:val="en-US"/>
        </w:rPr>
        <w:t xml:space="preserve"> </w:t>
      </w:r>
      <w:proofErr w:type="spellStart"/>
      <w:r w:rsidRPr="005C7481">
        <w:rPr>
          <w:lang w:val="en-US"/>
        </w:rPr>
        <w:t>efector</w:t>
      </w:r>
      <w:proofErr w:type="spellEnd"/>
      <w:r w:rsidRPr="005C7481">
        <w:rPr>
          <w:lang w:val="en-US"/>
        </w:rPr>
        <w:t xml:space="preserve"> mini ferment monitoring solution</w:t>
      </w:r>
    </w:p>
    <w:p w14:paraId="40976F5A" w14:textId="52E07668" w:rsidR="00A775A7" w:rsidRDefault="00A775A7" w:rsidP="005D1BFC">
      <w:pPr>
        <w:rPr>
          <w:lang w:val="en-US"/>
        </w:rPr>
      </w:pPr>
      <w:r w:rsidRPr="005D1BFC">
        <w:rPr>
          <w:lang w:val="en-US"/>
        </w:rPr>
        <w:t xml:space="preserve">The ifm </w:t>
      </w:r>
      <w:r w:rsidR="005D1BFC" w:rsidRPr="005D1BFC">
        <w:rPr>
          <w:lang w:val="en-US"/>
        </w:rPr>
        <w:t>mini ferment monitoring so</w:t>
      </w:r>
      <w:r w:rsidR="005D1BFC">
        <w:rPr>
          <w:lang w:val="en-US"/>
        </w:rPr>
        <w:t xml:space="preserve">lution is a stand-alone system for </w:t>
      </w:r>
      <w:r w:rsidR="007D0776">
        <w:rPr>
          <w:lang w:val="en-US"/>
        </w:rPr>
        <w:t xml:space="preserve">real time </w:t>
      </w:r>
      <w:r w:rsidR="005D1BFC">
        <w:rPr>
          <w:lang w:val="en-US"/>
        </w:rPr>
        <w:t>measur</w:t>
      </w:r>
      <w:r w:rsidR="007D0776">
        <w:rPr>
          <w:lang w:val="en-US"/>
        </w:rPr>
        <w:t>ement</w:t>
      </w:r>
      <w:r w:rsidR="005D1BFC">
        <w:rPr>
          <w:lang w:val="en-US"/>
        </w:rPr>
        <w:t xml:space="preserve"> </w:t>
      </w:r>
      <w:r w:rsidR="007D0776">
        <w:rPr>
          <w:lang w:val="en-US"/>
        </w:rPr>
        <w:t xml:space="preserve">of </w:t>
      </w:r>
      <w:r w:rsidRPr="005D1BFC">
        <w:rPr>
          <w:lang w:val="en-US"/>
        </w:rPr>
        <w:t xml:space="preserve">Baume </w:t>
      </w:r>
      <w:r w:rsidR="007D0776">
        <w:rPr>
          <w:lang w:val="en-US"/>
        </w:rPr>
        <w:t>/</w:t>
      </w:r>
      <w:r w:rsidR="005D1BFC" w:rsidRPr="005D1BFC">
        <w:rPr>
          <w:lang w:val="en-US"/>
        </w:rPr>
        <w:t xml:space="preserve"> Brix and density on </w:t>
      </w:r>
      <w:r w:rsidR="005C7481">
        <w:rPr>
          <w:lang w:val="en-US"/>
        </w:rPr>
        <w:t xml:space="preserve">a single fermenter.  </w:t>
      </w:r>
      <w:r w:rsidR="005D1BFC">
        <w:rPr>
          <w:lang w:val="en-US"/>
        </w:rPr>
        <w:t xml:space="preserve">Whilst the system is expandable, the </w:t>
      </w:r>
      <w:r w:rsidR="00D0143E">
        <w:rPr>
          <w:lang w:val="en-US"/>
        </w:rPr>
        <w:t>solution is ideal as a</w:t>
      </w:r>
      <w:r w:rsidR="00946091">
        <w:rPr>
          <w:lang w:val="en-US"/>
        </w:rPr>
        <w:t xml:space="preserve"> simple</w:t>
      </w:r>
      <w:r w:rsidR="00D0143E">
        <w:rPr>
          <w:lang w:val="en-US"/>
        </w:rPr>
        <w:t xml:space="preserve"> “proof of concept”.</w:t>
      </w:r>
    </w:p>
    <w:p w14:paraId="38575403" w14:textId="640C860B" w:rsidR="00D0143E" w:rsidRDefault="00D0143E" w:rsidP="005C7481">
      <w:pPr>
        <w:rPr>
          <w:lang w:val="en-US"/>
        </w:rPr>
      </w:pPr>
      <w:r>
        <w:rPr>
          <w:lang w:val="en-US"/>
        </w:rPr>
        <w:t xml:space="preserve">Whilst differential pressure has long been available for density monitoring, </w:t>
      </w:r>
      <w:r w:rsidR="005C7481">
        <w:rPr>
          <w:lang w:val="en-US"/>
        </w:rPr>
        <w:t xml:space="preserve">the small pressure variations caused by density change during fermentation have meant traditional differential transmitters require ultra-thin metal diaphragms </w:t>
      </w:r>
      <w:r>
        <w:rPr>
          <w:lang w:val="en-US"/>
        </w:rPr>
        <w:t xml:space="preserve">which are extremely fragile. Failure of traditional </w:t>
      </w:r>
      <w:r w:rsidR="005C7481">
        <w:rPr>
          <w:lang w:val="en-US"/>
        </w:rPr>
        <w:t xml:space="preserve">metal </w:t>
      </w:r>
      <w:r>
        <w:rPr>
          <w:lang w:val="en-US"/>
        </w:rPr>
        <w:t xml:space="preserve">diaphragms can release glycol or other fill materials and contaminate the wine. </w:t>
      </w:r>
    </w:p>
    <w:p w14:paraId="4AC521EA" w14:textId="1C0B9198" w:rsidR="00D0143E" w:rsidRDefault="00D0143E" w:rsidP="005D1BFC">
      <w:pPr>
        <w:rPr>
          <w:lang w:val="en-US"/>
        </w:rPr>
      </w:pPr>
      <w:r>
        <w:rPr>
          <w:lang w:val="en-US"/>
        </w:rPr>
        <w:t xml:space="preserve">The latest generation of </w:t>
      </w:r>
      <w:r w:rsidR="005C7481">
        <w:rPr>
          <w:lang w:val="en-US"/>
        </w:rPr>
        <w:t xml:space="preserve">ifm </w:t>
      </w:r>
      <w:r>
        <w:rPr>
          <w:lang w:val="en-US"/>
        </w:rPr>
        <w:t xml:space="preserve">PI17xx pressure transmitters from ifm efector use robust ceramic diaphragms with no filler material </w:t>
      </w:r>
      <w:r w:rsidR="00946091">
        <w:rPr>
          <w:lang w:val="en-US"/>
        </w:rPr>
        <w:t xml:space="preserve">that could </w:t>
      </w:r>
      <w:r>
        <w:rPr>
          <w:lang w:val="en-US"/>
        </w:rPr>
        <w:t>contaminate the wine. They also utilize IO-Link technology to provide much higher resolution than available with traditional 4-20mA process signals</w:t>
      </w:r>
      <w:r w:rsidR="00946091">
        <w:rPr>
          <w:lang w:val="en-US"/>
        </w:rPr>
        <w:t xml:space="preserve">, to accurately provide ferment measurements that reflect the values measured in the laboratory.  </w:t>
      </w:r>
      <w:r>
        <w:rPr>
          <w:lang w:val="en-US"/>
        </w:rPr>
        <w:t xml:space="preserve"> </w:t>
      </w:r>
    </w:p>
    <w:p w14:paraId="2CB75BEA" w14:textId="77777777" w:rsidR="000A74EF" w:rsidRDefault="00946091" w:rsidP="000A74EF">
      <w:pPr>
        <w:rPr>
          <w:lang w:val="en-US"/>
        </w:rPr>
      </w:pPr>
      <w:r>
        <w:rPr>
          <w:lang w:val="en-US"/>
        </w:rPr>
        <w:t>The ifm efector mini ferment monitoring system comprises the following components:</w:t>
      </w:r>
    </w:p>
    <w:p w14:paraId="2B071AC3" w14:textId="1EC2A818" w:rsidR="00946091" w:rsidRDefault="000A74EF" w:rsidP="000A74EF">
      <w:pPr>
        <w:pStyle w:val="ListParagraph"/>
        <w:numPr>
          <w:ilvl w:val="0"/>
          <w:numId w:val="1"/>
        </w:numPr>
        <w:rPr>
          <w:lang w:val="en-US"/>
        </w:rPr>
      </w:pPr>
      <w:r w:rsidRPr="000A74EF">
        <w:rPr>
          <w:lang w:val="en-US"/>
        </w:rPr>
        <w:t>C</w:t>
      </w:r>
      <w:r w:rsidR="00946091" w:rsidRPr="000A74EF">
        <w:rPr>
          <w:lang w:val="en-US"/>
        </w:rPr>
        <w:t>R1140 4.3” HMI / PLC with ferment monitoring program pre-loaded</w:t>
      </w:r>
    </w:p>
    <w:p w14:paraId="228C752C" w14:textId="51CFE4CA" w:rsidR="000A74EF" w:rsidRPr="000A74EF" w:rsidRDefault="000A74EF" w:rsidP="000A74E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4 port IO-Link master</w:t>
      </w:r>
    </w:p>
    <w:p w14:paraId="1707D99F" w14:textId="2EDDC06B" w:rsidR="00946091" w:rsidRDefault="00946091" w:rsidP="00946091">
      <w:pPr>
        <w:pStyle w:val="ListParagraph"/>
        <w:numPr>
          <w:ilvl w:val="0"/>
          <w:numId w:val="1"/>
        </w:numPr>
        <w:rPr>
          <w:lang w:val="en-US"/>
        </w:rPr>
      </w:pPr>
      <w:r w:rsidRPr="00946091">
        <w:rPr>
          <w:lang w:val="en-US"/>
        </w:rPr>
        <w:t xml:space="preserve">2 x PI1707 1 Bar </w:t>
      </w:r>
      <w:r>
        <w:rPr>
          <w:lang w:val="en-US"/>
        </w:rPr>
        <w:t xml:space="preserve">IO-Link </w:t>
      </w:r>
      <w:r w:rsidRPr="00946091">
        <w:rPr>
          <w:lang w:val="en-US"/>
        </w:rPr>
        <w:t>pressure transmitter</w:t>
      </w:r>
      <w:r>
        <w:rPr>
          <w:lang w:val="en-US"/>
        </w:rPr>
        <w:t>s</w:t>
      </w:r>
    </w:p>
    <w:p w14:paraId="7F47C638" w14:textId="0DBA7005" w:rsidR="00946091" w:rsidRPr="00946091" w:rsidRDefault="00946091" w:rsidP="0094609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Temperature transmitter and cables to suit.</w:t>
      </w:r>
    </w:p>
    <w:p w14:paraId="59698A3B" w14:textId="3330AE21" w:rsidR="00A775A7" w:rsidRDefault="00946091" w:rsidP="00946091">
      <w:pPr>
        <w:rPr>
          <w:lang w:val="en-US"/>
        </w:rPr>
      </w:pPr>
      <w:r>
        <w:rPr>
          <w:lang w:val="en-US"/>
        </w:rPr>
        <w:t>The 2 x P</w:t>
      </w:r>
      <w:r w:rsidR="000A74EF">
        <w:rPr>
          <w:lang w:val="en-US"/>
        </w:rPr>
        <w:t>I</w:t>
      </w:r>
      <w:r>
        <w:rPr>
          <w:lang w:val="en-US"/>
        </w:rPr>
        <w:t>17</w:t>
      </w:r>
      <w:r w:rsidR="000A74EF">
        <w:rPr>
          <w:lang w:val="en-US"/>
        </w:rPr>
        <w:t>0</w:t>
      </w:r>
      <w:r>
        <w:rPr>
          <w:lang w:val="en-US"/>
        </w:rPr>
        <w:t xml:space="preserve">7 pressure transmitters are mounted a known distance apart. This value is generally 1-2 meters, with greater </w:t>
      </w:r>
      <w:r w:rsidR="000A74EF">
        <w:rPr>
          <w:lang w:val="en-US"/>
        </w:rPr>
        <w:t xml:space="preserve">separation </w:t>
      </w:r>
      <w:r>
        <w:rPr>
          <w:lang w:val="en-US"/>
        </w:rPr>
        <w:t xml:space="preserve">distance giving the better results. </w:t>
      </w:r>
      <w:r w:rsidR="000A74EF">
        <w:rPr>
          <w:lang w:val="en-US"/>
        </w:rPr>
        <w:t xml:space="preserve">Mounting in pump over lines rather than directly in the tank wall is also possible to simplify the installation. </w:t>
      </w:r>
      <w:r>
        <w:rPr>
          <w:lang w:val="en-US"/>
        </w:rPr>
        <w:t>The distance value is entered into the HMI using the operator interface</w:t>
      </w:r>
      <w:r w:rsidR="000A74EF">
        <w:rPr>
          <w:lang w:val="en-US"/>
        </w:rPr>
        <w:t xml:space="preserve"> to set the system up for operation</w:t>
      </w:r>
      <w:r>
        <w:rPr>
          <w:lang w:val="en-US"/>
        </w:rPr>
        <w:t xml:space="preserve">. </w:t>
      </w:r>
      <w:r w:rsidR="00A775A7">
        <w:rPr>
          <w:noProof/>
        </w:rPr>
        <w:drawing>
          <wp:inline distT="0" distB="0" distL="0" distR="0" wp14:anchorId="3740504E" wp14:editId="07AFB6B0">
            <wp:extent cx="5731510" cy="27089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E1040" w14:textId="77777777" w:rsidR="00A775A7" w:rsidRDefault="00A775A7">
      <w:pPr>
        <w:rPr>
          <w:lang w:val="en-US"/>
        </w:rPr>
      </w:pPr>
    </w:p>
    <w:p w14:paraId="400906B9" w14:textId="04640CB6" w:rsidR="00946091" w:rsidRDefault="000A74EF">
      <w:pPr>
        <w:rPr>
          <w:lang w:val="en-US"/>
        </w:rPr>
      </w:pPr>
      <w:r>
        <w:rPr>
          <w:lang w:val="en-US"/>
        </w:rPr>
        <w:t xml:space="preserve">Whilst the system can operate stand-alone using the HMI display, information from the IO-Link master can be shared with higher level systems such as </w:t>
      </w:r>
      <w:r w:rsidR="0072444C">
        <w:rPr>
          <w:lang w:val="en-US"/>
        </w:rPr>
        <w:t xml:space="preserve">Ignition, SCADA, MES, ERP, etc. </w:t>
      </w:r>
    </w:p>
    <w:p w14:paraId="4385B3FE" w14:textId="77777777" w:rsidR="00F56200" w:rsidRDefault="000A74EF" w:rsidP="0072444C">
      <w:pPr>
        <w:rPr>
          <w:lang w:val="en-US"/>
        </w:rPr>
      </w:pPr>
      <w:r>
        <w:rPr>
          <w:noProof/>
        </w:rPr>
        <w:drawing>
          <wp:inline distT="0" distB="0" distL="0" distR="0" wp14:anchorId="5ABCC25A" wp14:editId="31CEA475">
            <wp:extent cx="4280400" cy="2498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0400" cy="24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D4A88" w14:textId="0A631E11" w:rsidR="0072444C" w:rsidRDefault="00F56200" w:rsidP="00F56200">
      <w:pPr>
        <w:rPr>
          <w:lang w:val="en-US"/>
        </w:rPr>
      </w:pPr>
      <w:r>
        <w:rPr>
          <w:lang w:val="en-US"/>
        </w:rPr>
        <w:t xml:space="preserve">       Expansion of</w:t>
      </w:r>
      <w:r w:rsidR="0072444C">
        <w:rPr>
          <w:lang w:val="en-US"/>
        </w:rPr>
        <w:t xml:space="preserve"> the system is possible by:</w:t>
      </w:r>
    </w:p>
    <w:p w14:paraId="178C1472" w14:textId="415879AF" w:rsidR="0072444C" w:rsidRDefault="0072444C" w:rsidP="0072444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adding additional </w:t>
      </w:r>
      <w:r w:rsidR="00B56019">
        <w:rPr>
          <w:lang w:val="en-US"/>
        </w:rPr>
        <w:t xml:space="preserve">“mini” </w:t>
      </w:r>
      <w:r>
        <w:rPr>
          <w:lang w:val="en-US"/>
        </w:rPr>
        <w:t>ferment solutions with a CR1140 HMI controlling each fermenter, or</w:t>
      </w:r>
    </w:p>
    <w:p w14:paraId="4319F422" w14:textId="19CBDBED" w:rsidR="0072444C" w:rsidRDefault="0072444C" w:rsidP="0072444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substituting the CR1140 HMI with ifm AE3100 IIoT Controller with web visualisation, or</w:t>
      </w:r>
    </w:p>
    <w:p w14:paraId="1DCE3262" w14:textId="0F38D3E2" w:rsidR="0072444C" w:rsidRDefault="0072444C" w:rsidP="0072444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substituting the CR1140 HMI with customer</w:t>
      </w:r>
      <w:r w:rsidR="00B56019">
        <w:rPr>
          <w:lang w:val="en-US"/>
        </w:rPr>
        <w:t>s own</w:t>
      </w:r>
      <w:r>
        <w:rPr>
          <w:lang w:val="en-US"/>
        </w:rPr>
        <w:t xml:space="preserve"> PLC, or</w:t>
      </w:r>
    </w:p>
    <w:p w14:paraId="4FA32B48" w14:textId="77777777" w:rsidR="00A617FE" w:rsidRDefault="0072444C" w:rsidP="00A617FE">
      <w:pPr>
        <w:pStyle w:val="ListParagraph"/>
        <w:numPr>
          <w:ilvl w:val="0"/>
          <w:numId w:val="2"/>
        </w:numPr>
        <w:rPr>
          <w:lang w:val="en-US"/>
        </w:rPr>
      </w:pPr>
      <w:r w:rsidRPr="00A617FE">
        <w:rPr>
          <w:lang w:val="en-US"/>
        </w:rPr>
        <w:t>push</w:t>
      </w:r>
      <w:r w:rsidR="00B56019" w:rsidRPr="00A617FE">
        <w:rPr>
          <w:lang w:val="en-US"/>
        </w:rPr>
        <w:t>ing</w:t>
      </w:r>
      <w:r w:rsidRPr="00A617FE">
        <w:rPr>
          <w:lang w:val="en-US"/>
        </w:rPr>
        <w:t xml:space="preserve"> data </w:t>
      </w:r>
      <w:r w:rsidR="00B56019" w:rsidRPr="00A617FE">
        <w:rPr>
          <w:lang w:val="en-US"/>
        </w:rPr>
        <w:t xml:space="preserve">directly from the IO-Link master </w:t>
      </w:r>
      <w:r w:rsidRPr="00A617FE">
        <w:rPr>
          <w:lang w:val="en-US"/>
        </w:rPr>
        <w:t xml:space="preserve">to </w:t>
      </w:r>
      <w:proofErr w:type="spellStart"/>
      <w:r w:rsidRPr="00A617FE">
        <w:rPr>
          <w:lang w:val="en-US"/>
        </w:rPr>
        <w:t>ifm</w:t>
      </w:r>
      <w:proofErr w:type="spellEnd"/>
      <w:r w:rsidRPr="00A617FE">
        <w:rPr>
          <w:lang w:val="en-US"/>
        </w:rPr>
        <w:t xml:space="preserve"> Moneo </w:t>
      </w:r>
      <w:proofErr w:type="spellStart"/>
      <w:r w:rsidRPr="00A617FE">
        <w:rPr>
          <w:lang w:val="en-US"/>
        </w:rPr>
        <w:t>IIoT</w:t>
      </w:r>
      <w:proofErr w:type="spellEnd"/>
      <w:r w:rsidRPr="00A617FE">
        <w:rPr>
          <w:lang w:val="en-US"/>
        </w:rPr>
        <w:t xml:space="preserve"> software, with calculations performed within the software platform</w:t>
      </w:r>
      <w:r w:rsidR="00F56200" w:rsidRPr="00A617FE">
        <w:rPr>
          <w:lang w:val="en-US"/>
        </w:rPr>
        <w:t xml:space="preserve"> </w:t>
      </w:r>
      <w:r w:rsidR="00A617FE">
        <w:rPr>
          <w:lang w:val="en-US"/>
        </w:rPr>
        <w:t xml:space="preserve"> </w:t>
      </w:r>
    </w:p>
    <w:p w14:paraId="340C8D2A" w14:textId="77777777" w:rsidR="00A617FE" w:rsidRPr="00A617FE" w:rsidRDefault="00A617FE" w:rsidP="00A617FE">
      <w:pPr>
        <w:ind w:left="360"/>
        <w:rPr>
          <w:lang w:val="en-US"/>
        </w:rPr>
      </w:pPr>
    </w:p>
    <w:p w14:paraId="535DEBD9" w14:textId="54434721" w:rsidR="000A74EF" w:rsidRPr="00A617FE" w:rsidRDefault="000A74EF" w:rsidP="00A617FE">
      <w:pPr>
        <w:ind w:left="360"/>
        <w:rPr>
          <w:lang w:val="en-US"/>
        </w:rPr>
      </w:pPr>
      <w:r>
        <w:rPr>
          <w:noProof/>
        </w:rPr>
        <w:drawing>
          <wp:inline distT="0" distB="0" distL="0" distR="0" wp14:anchorId="336AA4F1" wp14:editId="7C12EB3B">
            <wp:extent cx="5731510" cy="3005455"/>
            <wp:effectExtent l="0" t="0" r="2540" b="4445"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1881B72-660B-4E3B-98B1-32CBF9DC79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1881B72-660B-4E3B-98B1-32CBF9DC79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" r="524" b="1728"/>
                    <a:stretch/>
                  </pic:blipFill>
                  <pic:spPr>
                    <a:xfrm>
                      <a:off x="0" y="0"/>
                      <a:ext cx="573151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C2D78" w14:textId="77777777" w:rsidR="000A74EF" w:rsidRDefault="000A74EF">
      <w:pPr>
        <w:rPr>
          <w:lang w:val="en-US"/>
        </w:rPr>
      </w:pPr>
    </w:p>
    <w:p w14:paraId="7AFEDE19" w14:textId="77777777" w:rsidR="00F56200" w:rsidRDefault="00F56200">
      <w:pPr>
        <w:rPr>
          <w:lang w:val="en-US"/>
        </w:rPr>
      </w:pPr>
    </w:p>
    <w:p w14:paraId="4A97D28B" w14:textId="77777777" w:rsidR="00F56200" w:rsidRDefault="00F56200">
      <w:pPr>
        <w:rPr>
          <w:lang w:val="en-US"/>
        </w:rPr>
      </w:pPr>
    </w:p>
    <w:p w14:paraId="4DFFCF0A" w14:textId="77777777" w:rsidR="00F56200" w:rsidRDefault="00F56200">
      <w:pPr>
        <w:rPr>
          <w:lang w:val="en-US"/>
        </w:rPr>
      </w:pPr>
    </w:p>
    <w:p w14:paraId="1C37A41F" w14:textId="77777777" w:rsidR="00F56200" w:rsidRDefault="00F56200">
      <w:pPr>
        <w:rPr>
          <w:lang w:val="en-US"/>
        </w:rPr>
      </w:pPr>
    </w:p>
    <w:p w14:paraId="482E3984" w14:textId="5EBB0059" w:rsidR="000A74EF" w:rsidRDefault="00F56200" w:rsidP="000A74EF">
      <w:pPr>
        <w:rPr>
          <w:noProof/>
        </w:rPr>
      </w:pPr>
      <w:r>
        <w:rPr>
          <w:noProof/>
        </w:rPr>
        <w:drawing>
          <wp:inline distT="0" distB="0" distL="0" distR="0" wp14:anchorId="0B97FC4F" wp14:editId="60B70B75">
            <wp:extent cx="1836000" cy="344520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34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200">
        <w:rPr>
          <w:noProof/>
        </w:rPr>
        <w:t xml:space="preserve"> </w:t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68B3AA87" wp14:editId="4FA1E139">
            <wp:extent cx="2516400" cy="347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34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F49A9" w14:textId="77777777" w:rsidR="00B56019" w:rsidRDefault="00B56019" w:rsidP="00B56019">
      <w:pPr>
        <w:rPr>
          <w:lang w:val="en-US"/>
        </w:rPr>
      </w:pPr>
    </w:p>
    <w:p w14:paraId="7861D63E" w14:textId="5C018617" w:rsidR="00B56019" w:rsidRDefault="00B56019" w:rsidP="00B56019">
      <w:pPr>
        <w:rPr>
          <w:lang w:val="en-US"/>
        </w:rPr>
      </w:pPr>
      <w:r>
        <w:rPr>
          <w:lang w:val="en-US"/>
        </w:rPr>
        <w:t>Whilst not yet implemented, it would also be possible to use the mini ferment system to monitor CO2 generated during ferment by adding 2 x ifm SD6</w:t>
      </w:r>
      <w:r w:rsidR="000C7879">
        <w:rPr>
          <w:lang w:val="en-US"/>
        </w:rPr>
        <w:t>6</w:t>
      </w:r>
      <w:r>
        <w:rPr>
          <w:lang w:val="en-US"/>
        </w:rPr>
        <w:t>00 industrial gas flowmeters to calculate the difference between gas blanket usage (CO2/nitrogen/argon) and vented CO2.</w:t>
      </w:r>
    </w:p>
    <w:p w14:paraId="5C650820" w14:textId="77777777" w:rsidR="00B56019" w:rsidRDefault="00B56019" w:rsidP="00B56019">
      <w:pPr>
        <w:rPr>
          <w:lang w:val="en-US"/>
        </w:rPr>
      </w:pPr>
      <w:r>
        <w:rPr>
          <w:lang w:val="en-US"/>
        </w:rPr>
        <w:t xml:space="preserve">At present the mini ferment monitoring system has not been implemented in Australia, but </w:t>
      </w:r>
      <w:proofErr w:type="spellStart"/>
      <w:r>
        <w:rPr>
          <w:lang w:val="en-US"/>
        </w:rPr>
        <w:t>ifm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efector</w:t>
      </w:r>
      <w:proofErr w:type="spellEnd"/>
      <w:r>
        <w:rPr>
          <w:lang w:val="en-US"/>
        </w:rPr>
        <w:t xml:space="preserve"> has extensive experience with wine ferment monitoring with major US customers. </w:t>
      </w:r>
    </w:p>
    <w:p w14:paraId="75A2FC85" w14:textId="4A22F6F7" w:rsidR="007D0776" w:rsidRDefault="007D0776" w:rsidP="00A617FE">
      <w:pPr>
        <w:rPr>
          <w:lang w:val="en-US"/>
        </w:rPr>
      </w:pPr>
      <w:r w:rsidRPr="007C7483">
        <w:rPr>
          <w:b/>
          <w:bCs/>
          <w:lang w:val="en-US"/>
        </w:rPr>
        <w:t>Case study</w:t>
      </w:r>
      <w:r w:rsidR="00A617FE">
        <w:rPr>
          <w:b/>
          <w:bCs/>
          <w:lang w:val="en-US"/>
        </w:rPr>
        <w:t xml:space="preserve">  </w:t>
      </w:r>
      <w:r>
        <w:rPr>
          <w:lang w:val="en-US"/>
        </w:rPr>
        <w:t xml:space="preserve"> </w:t>
      </w:r>
      <w:hyperlink r:id="rId10" w:history="1">
        <w:r w:rsidRPr="00BE0D16">
          <w:rPr>
            <w:rStyle w:val="Hyperlink"/>
            <w:lang w:val="en-US"/>
          </w:rPr>
          <w:t>https://www.ifm.com/us/en/shared/successstories/casestudies/automated-brix-calculation</w:t>
        </w:r>
      </w:hyperlink>
    </w:p>
    <w:p w14:paraId="66443654" w14:textId="297F866E" w:rsidR="00B56019" w:rsidRPr="005C7481" w:rsidRDefault="00B56019" w:rsidP="00A617FE">
      <w:pPr>
        <w:rPr>
          <w:lang w:val="en-US"/>
        </w:rPr>
      </w:pPr>
      <w:r w:rsidRPr="005C7481">
        <w:rPr>
          <w:b/>
          <w:bCs/>
          <w:lang w:val="en-US"/>
        </w:rPr>
        <w:t>Ifm ferment monitoring video</w:t>
      </w:r>
      <w:r w:rsidR="00A617FE">
        <w:rPr>
          <w:b/>
          <w:bCs/>
          <w:lang w:val="en-US"/>
        </w:rPr>
        <w:t xml:space="preserve">  </w:t>
      </w:r>
      <w:hyperlink r:id="rId11" w:history="1">
        <w:r w:rsidRPr="005C7481">
          <w:rPr>
            <w:rStyle w:val="Hyperlink"/>
            <w:lang w:val="en-US"/>
          </w:rPr>
          <w:t>https://www.ifm.com/us/en/us/teaser-documents/industries/food/wine-brix-video</w:t>
        </w:r>
      </w:hyperlink>
    </w:p>
    <w:p w14:paraId="47A49C0E" w14:textId="1424479E" w:rsidR="007D0776" w:rsidRPr="000C7879" w:rsidRDefault="00B56019" w:rsidP="00A617FE">
      <w:pPr>
        <w:rPr>
          <w:lang w:val="en-US"/>
        </w:rPr>
      </w:pPr>
      <w:r w:rsidRPr="000C7879">
        <w:rPr>
          <w:b/>
          <w:bCs/>
          <w:lang w:val="en-US"/>
        </w:rPr>
        <w:t>ifm Australia Wine</w:t>
      </w:r>
      <w:r w:rsidR="00A617FE" w:rsidRPr="000C7879">
        <w:rPr>
          <w:b/>
          <w:bCs/>
          <w:lang w:val="en-US"/>
        </w:rPr>
        <w:t xml:space="preserve"> Wise Solutions  </w:t>
      </w:r>
      <w:hyperlink r:id="rId12" w:history="1">
        <w:r w:rsidR="00A617FE" w:rsidRPr="000C7879">
          <w:rPr>
            <w:rStyle w:val="Hyperlink"/>
            <w:lang w:val="en-US"/>
          </w:rPr>
          <w:t>https://www.ifm.com/au/en/au/landingpages/wine/fermentation</w:t>
        </w:r>
      </w:hyperlink>
      <w:r w:rsidR="00A617FE" w:rsidRPr="000C7879">
        <w:rPr>
          <w:lang w:val="en-US"/>
        </w:rPr>
        <w:tab/>
      </w:r>
    </w:p>
    <w:sectPr w:rsidR="007D0776" w:rsidRPr="000C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02913"/>
    <w:multiLevelType w:val="hybridMultilevel"/>
    <w:tmpl w:val="E2A4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A86"/>
    <w:multiLevelType w:val="hybridMultilevel"/>
    <w:tmpl w:val="E418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9432">
    <w:abstractNumId w:val="1"/>
  </w:num>
  <w:num w:numId="2" w16cid:durableId="36420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A7"/>
    <w:rsid w:val="000A74EF"/>
    <w:rsid w:val="000C7879"/>
    <w:rsid w:val="005C7481"/>
    <w:rsid w:val="005D1BFC"/>
    <w:rsid w:val="0072444C"/>
    <w:rsid w:val="007C7483"/>
    <w:rsid w:val="007D0776"/>
    <w:rsid w:val="00865AB5"/>
    <w:rsid w:val="00946091"/>
    <w:rsid w:val="009B178E"/>
    <w:rsid w:val="00A617FE"/>
    <w:rsid w:val="00A775A7"/>
    <w:rsid w:val="00B56019"/>
    <w:rsid w:val="00C460CC"/>
    <w:rsid w:val="00D0143E"/>
    <w:rsid w:val="00DE78DB"/>
    <w:rsid w:val="00F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5029"/>
  <w15:chartTrackingRefBased/>
  <w15:docId w15:val="{2C6F9655-800A-4308-B797-BAA5B42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fm.com/au/en/au/landingpages/wine/ferm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fm.com/us/en/us/teaser-documents/industries/food/wine-brix-vide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fm.com/us/en/shared/successstories/casestudies/automated-brix-calcul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3142</Characters>
  <Application>Microsoft Office Word</Application>
  <DocSecurity>0</DocSecurity>
  <Lines>95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Blackeby, Darryl</dc:creator>
  <cp:keywords/>
  <dc:description/>
  <cp:lastModifiedBy>Liz Schoen</cp:lastModifiedBy>
  <cp:revision>2</cp:revision>
  <dcterms:created xsi:type="dcterms:W3CDTF">2024-10-22T02:02:00Z</dcterms:created>
  <dcterms:modified xsi:type="dcterms:W3CDTF">2024-10-22T02:02:00Z</dcterms:modified>
</cp:coreProperties>
</file>